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7C" w:rsidRPr="008C367C" w:rsidRDefault="008C367C" w:rsidP="008C367C">
      <w:pPr>
        <w:jc w:val="center"/>
        <w:rPr>
          <w:b/>
          <w:sz w:val="28"/>
          <w:szCs w:val="28"/>
        </w:rPr>
      </w:pPr>
      <w:r w:rsidRPr="008C367C">
        <w:rPr>
          <w:b/>
          <w:sz w:val="28"/>
          <w:szCs w:val="28"/>
        </w:rPr>
        <w:t>Обстановка с пожарами и их последствиями</w:t>
      </w:r>
    </w:p>
    <w:p w:rsidR="008C367C" w:rsidRPr="008C367C" w:rsidRDefault="008C367C" w:rsidP="008C367C">
      <w:pPr>
        <w:jc w:val="center"/>
        <w:rPr>
          <w:b/>
          <w:sz w:val="28"/>
          <w:szCs w:val="28"/>
        </w:rPr>
      </w:pPr>
      <w:r w:rsidRPr="008C367C">
        <w:rPr>
          <w:b/>
          <w:sz w:val="28"/>
          <w:szCs w:val="28"/>
        </w:rPr>
        <w:t>в Архангельской области</w:t>
      </w:r>
    </w:p>
    <w:p w:rsidR="008C367C" w:rsidRPr="008C367C" w:rsidRDefault="008C367C" w:rsidP="008C367C"/>
    <w:p w:rsidR="008C367C" w:rsidRPr="008C367C" w:rsidRDefault="008C367C" w:rsidP="008C367C"/>
    <w:p w:rsidR="008C367C" w:rsidRPr="008C367C" w:rsidRDefault="008C367C" w:rsidP="008C367C">
      <w:pPr>
        <w:suppressAutoHyphens/>
        <w:ind w:firstLine="709"/>
        <w:jc w:val="both"/>
        <w:rPr>
          <w:sz w:val="28"/>
          <w:szCs w:val="28"/>
        </w:rPr>
      </w:pPr>
      <w:r w:rsidRPr="008C367C">
        <w:rPr>
          <w:sz w:val="28"/>
          <w:szCs w:val="28"/>
        </w:rPr>
        <w:t>За 2022 год обстановка с пожарами в Архангельской области по сравнению с прошлым годом характеризовалась следующими основными показателями:</w:t>
      </w:r>
    </w:p>
    <w:p w:rsidR="008C367C" w:rsidRPr="008C367C" w:rsidRDefault="008C367C" w:rsidP="008C367C">
      <w:pPr>
        <w:numPr>
          <w:ilvl w:val="1"/>
          <w:numId w:val="2"/>
        </w:numPr>
        <w:tabs>
          <w:tab w:val="clear" w:pos="2149"/>
          <w:tab w:val="num" w:pos="900"/>
        </w:tabs>
        <w:suppressAutoHyphens/>
        <w:ind w:left="0" w:firstLine="709"/>
        <w:jc w:val="both"/>
        <w:rPr>
          <w:sz w:val="28"/>
          <w:szCs w:val="28"/>
        </w:rPr>
      </w:pPr>
      <w:r w:rsidRPr="008C367C">
        <w:rPr>
          <w:sz w:val="28"/>
          <w:szCs w:val="28"/>
        </w:rPr>
        <w:t>всего зарегистрировано 2498 пожаров (за АППГ - 2538, уменьшение на 1,60%);</w:t>
      </w:r>
    </w:p>
    <w:p w:rsidR="008C367C" w:rsidRPr="008C367C" w:rsidRDefault="008C367C" w:rsidP="008C367C">
      <w:pPr>
        <w:numPr>
          <w:ilvl w:val="1"/>
          <w:numId w:val="2"/>
        </w:numPr>
        <w:tabs>
          <w:tab w:val="clear" w:pos="2149"/>
          <w:tab w:val="num" w:pos="900"/>
        </w:tabs>
        <w:suppressAutoHyphens/>
        <w:ind w:left="0" w:firstLine="709"/>
        <w:jc w:val="both"/>
        <w:rPr>
          <w:sz w:val="28"/>
          <w:szCs w:val="28"/>
        </w:rPr>
      </w:pPr>
      <w:r w:rsidRPr="008C367C">
        <w:rPr>
          <w:sz w:val="28"/>
          <w:szCs w:val="28"/>
        </w:rPr>
        <w:t xml:space="preserve">количество погибших на пожарах – 105 человек (за АППГ – 108 чел., уменьшение на 2,78%); </w:t>
      </w:r>
    </w:p>
    <w:p w:rsidR="008C367C" w:rsidRPr="008C367C" w:rsidRDefault="008C367C" w:rsidP="008C367C">
      <w:pPr>
        <w:numPr>
          <w:ilvl w:val="1"/>
          <w:numId w:val="2"/>
        </w:numPr>
        <w:tabs>
          <w:tab w:val="clear" w:pos="2149"/>
          <w:tab w:val="num" w:pos="900"/>
        </w:tabs>
        <w:suppressAutoHyphens/>
        <w:ind w:left="0" w:firstLine="709"/>
        <w:jc w:val="both"/>
        <w:rPr>
          <w:sz w:val="28"/>
          <w:szCs w:val="28"/>
        </w:rPr>
      </w:pPr>
      <w:r w:rsidRPr="008C367C">
        <w:rPr>
          <w:sz w:val="28"/>
          <w:szCs w:val="28"/>
        </w:rPr>
        <w:t xml:space="preserve"> количество погибших на пожарах детей – 8 детей (за АППГ – 4 </w:t>
      </w:r>
      <w:proofErr w:type="spellStart"/>
      <w:r w:rsidRPr="008C367C">
        <w:rPr>
          <w:sz w:val="28"/>
          <w:szCs w:val="28"/>
        </w:rPr>
        <w:t>реб</w:t>
      </w:r>
      <w:proofErr w:type="spellEnd"/>
      <w:r w:rsidRPr="008C367C">
        <w:rPr>
          <w:sz w:val="28"/>
          <w:szCs w:val="28"/>
        </w:rPr>
        <w:t>., увеличение на 100%)</w:t>
      </w:r>
    </w:p>
    <w:p w:rsidR="008C367C" w:rsidRPr="008C367C" w:rsidRDefault="008C367C" w:rsidP="008C367C">
      <w:pPr>
        <w:numPr>
          <w:ilvl w:val="1"/>
          <w:numId w:val="2"/>
        </w:numPr>
        <w:tabs>
          <w:tab w:val="clear" w:pos="2149"/>
          <w:tab w:val="num" w:pos="900"/>
        </w:tabs>
        <w:suppressAutoHyphens/>
        <w:ind w:left="0" w:firstLine="709"/>
        <w:jc w:val="both"/>
        <w:rPr>
          <w:sz w:val="28"/>
          <w:szCs w:val="28"/>
        </w:rPr>
      </w:pPr>
      <w:r w:rsidRPr="008C367C">
        <w:rPr>
          <w:sz w:val="28"/>
          <w:szCs w:val="28"/>
        </w:rPr>
        <w:t>количество травмированных на пожарах – 95 человек (за АППГ – 100 чел., уменьшение на 5%);</w:t>
      </w:r>
    </w:p>
    <w:p w:rsidR="004733FE" w:rsidRPr="008C367C" w:rsidRDefault="008C367C" w:rsidP="008C367C">
      <w:pPr>
        <w:rPr>
          <w:sz w:val="28"/>
          <w:szCs w:val="28"/>
        </w:rPr>
      </w:pPr>
      <w:r w:rsidRPr="008C367C">
        <w:rPr>
          <w:sz w:val="28"/>
          <w:szCs w:val="28"/>
        </w:rPr>
        <w:t>прямой материальный ущерб составил 500 млн. 671 тыс. рублей (за АППГ 452 млн. 970 тыс. рублей, увеличение на 10,53%).</w:t>
      </w:r>
    </w:p>
    <w:p w:rsidR="008C367C" w:rsidRPr="008C367C" w:rsidRDefault="008C367C" w:rsidP="008C367C">
      <w:pPr>
        <w:rPr>
          <w:sz w:val="22"/>
          <w:szCs w:val="22"/>
        </w:rPr>
      </w:pPr>
    </w:p>
    <w:p w:rsidR="008C367C" w:rsidRPr="008C367C" w:rsidRDefault="008C367C" w:rsidP="008C367C">
      <w:pPr>
        <w:ind w:firstLine="720"/>
        <w:jc w:val="both"/>
        <w:rPr>
          <w:b/>
          <w:sz w:val="28"/>
          <w:szCs w:val="28"/>
        </w:rPr>
      </w:pPr>
      <w:r w:rsidRPr="008C367C">
        <w:rPr>
          <w:b/>
          <w:sz w:val="28"/>
          <w:szCs w:val="28"/>
        </w:rPr>
        <w:t xml:space="preserve">Рост пожаров в сравнении с АППГ зарегистрирован: </w:t>
      </w:r>
      <w:r w:rsidRPr="008C367C">
        <w:rPr>
          <w:sz w:val="28"/>
          <w:szCs w:val="28"/>
        </w:rPr>
        <w:t xml:space="preserve">в </w:t>
      </w:r>
      <w:proofErr w:type="gramStart"/>
      <w:r w:rsidRPr="008C367C">
        <w:rPr>
          <w:sz w:val="28"/>
          <w:szCs w:val="28"/>
        </w:rPr>
        <w:t>г</w:t>
      </w:r>
      <w:proofErr w:type="gramEnd"/>
      <w:r w:rsidRPr="008C367C">
        <w:rPr>
          <w:sz w:val="28"/>
          <w:szCs w:val="28"/>
        </w:rPr>
        <w:t xml:space="preserve">. Архангельске + 31 пожар; г. Котласе +12 пожаров; </w:t>
      </w:r>
      <w:proofErr w:type="spellStart"/>
      <w:r w:rsidRPr="008C367C">
        <w:rPr>
          <w:sz w:val="28"/>
          <w:szCs w:val="28"/>
        </w:rPr>
        <w:t>Коношском</w:t>
      </w:r>
      <w:proofErr w:type="spellEnd"/>
      <w:r w:rsidRPr="008C367C">
        <w:rPr>
          <w:sz w:val="28"/>
          <w:szCs w:val="28"/>
        </w:rPr>
        <w:t xml:space="preserve"> районе +11 пожаров; г. Северодвинск +9 пожаров; </w:t>
      </w:r>
      <w:proofErr w:type="spellStart"/>
      <w:r w:rsidRPr="008C367C">
        <w:rPr>
          <w:sz w:val="28"/>
          <w:szCs w:val="28"/>
        </w:rPr>
        <w:t>Пинежском</w:t>
      </w:r>
      <w:proofErr w:type="spellEnd"/>
      <w:r w:rsidRPr="008C367C">
        <w:rPr>
          <w:sz w:val="28"/>
          <w:szCs w:val="28"/>
        </w:rPr>
        <w:t xml:space="preserve"> районе + 6 пожаров; </w:t>
      </w:r>
      <w:proofErr w:type="spellStart"/>
      <w:r w:rsidRPr="008C367C">
        <w:rPr>
          <w:sz w:val="28"/>
          <w:szCs w:val="28"/>
        </w:rPr>
        <w:t>Вилегодском</w:t>
      </w:r>
      <w:proofErr w:type="spellEnd"/>
      <w:r w:rsidRPr="008C367C">
        <w:rPr>
          <w:sz w:val="28"/>
          <w:szCs w:val="28"/>
        </w:rPr>
        <w:t xml:space="preserve"> районе + 2 пожара; </w:t>
      </w:r>
      <w:proofErr w:type="spellStart"/>
      <w:r w:rsidRPr="008C367C">
        <w:rPr>
          <w:sz w:val="28"/>
          <w:szCs w:val="28"/>
        </w:rPr>
        <w:t>Верхнетоемском</w:t>
      </w:r>
      <w:proofErr w:type="spellEnd"/>
      <w:r w:rsidRPr="008C367C">
        <w:rPr>
          <w:sz w:val="28"/>
          <w:szCs w:val="28"/>
        </w:rPr>
        <w:t xml:space="preserve"> районе + 2 пожара; Лешуконском районе + 2 пожара; Ленском районе + 1 пожар. </w:t>
      </w:r>
    </w:p>
    <w:p w:rsidR="008C367C" w:rsidRPr="008C367C" w:rsidRDefault="008C367C" w:rsidP="008C367C">
      <w:pPr>
        <w:rPr>
          <w:sz w:val="22"/>
          <w:szCs w:val="22"/>
        </w:rPr>
      </w:pPr>
    </w:p>
    <w:p w:rsidR="008C367C" w:rsidRPr="008C367C" w:rsidRDefault="008C367C" w:rsidP="008C367C">
      <w:pPr>
        <w:ind w:firstLine="720"/>
        <w:jc w:val="center"/>
        <w:rPr>
          <w:b/>
          <w:sz w:val="28"/>
          <w:szCs w:val="28"/>
        </w:rPr>
      </w:pPr>
      <w:r w:rsidRPr="008C367C">
        <w:rPr>
          <w:b/>
          <w:sz w:val="28"/>
          <w:szCs w:val="28"/>
        </w:rPr>
        <w:t>Распределение количества пожаров по основным причинам</w:t>
      </w:r>
    </w:p>
    <w:p w:rsidR="008C367C" w:rsidRPr="008C367C" w:rsidRDefault="008C367C" w:rsidP="008C367C">
      <w:pPr>
        <w:jc w:val="center"/>
        <w:rPr>
          <w:b/>
          <w:sz w:val="28"/>
          <w:szCs w:val="28"/>
        </w:rPr>
      </w:pPr>
    </w:p>
    <w:p w:rsidR="008C367C" w:rsidRPr="008C367C" w:rsidRDefault="008C367C" w:rsidP="008C367C">
      <w:pPr>
        <w:jc w:val="center"/>
        <w:rPr>
          <w:b/>
          <w:sz w:val="28"/>
          <w:szCs w:val="28"/>
        </w:rPr>
      </w:pPr>
      <w:r w:rsidRPr="008C367C">
        <w:rPr>
          <w:noProof/>
        </w:rPr>
        <w:drawing>
          <wp:inline distT="0" distB="0" distL="0" distR="0">
            <wp:extent cx="6296025" cy="3819525"/>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C367C" w:rsidRPr="008C367C" w:rsidRDefault="008C367C" w:rsidP="008C367C">
      <w:pPr>
        <w:ind w:firstLine="540"/>
        <w:jc w:val="both"/>
        <w:rPr>
          <w:sz w:val="28"/>
          <w:szCs w:val="28"/>
        </w:rPr>
      </w:pPr>
    </w:p>
    <w:p w:rsidR="008C367C" w:rsidRPr="008C367C" w:rsidRDefault="008C367C" w:rsidP="008C367C">
      <w:pPr>
        <w:ind w:firstLine="540"/>
        <w:jc w:val="both"/>
        <w:rPr>
          <w:sz w:val="28"/>
          <w:szCs w:val="28"/>
        </w:rPr>
      </w:pPr>
      <w:r w:rsidRPr="008C367C">
        <w:rPr>
          <w:sz w:val="28"/>
          <w:szCs w:val="28"/>
        </w:rPr>
        <w:lastRenderedPageBreak/>
        <w:t xml:space="preserve">За 2022 год наибольшее количество пожаров зарегистрировано по причине неосторожного обращения с огнем – 54,96% от общего количества пожаров (+4,4% к АППГ). </w:t>
      </w:r>
    </w:p>
    <w:p w:rsidR="008C367C" w:rsidRPr="008C367C" w:rsidRDefault="008C367C" w:rsidP="008C367C">
      <w:pPr>
        <w:ind w:firstLine="540"/>
        <w:jc w:val="both"/>
        <w:rPr>
          <w:sz w:val="28"/>
          <w:szCs w:val="28"/>
        </w:rPr>
      </w:pPr>
      <w:proofErr w:type="gramStart"/>
      <w:r w:rsidRPr="008C367C">
        <w:rPr>
          <w:sz w:val="28"/>
          <w:szCs w:val="28"/>
        </w:rPr>
        <w:t>По сравнению с АППГ уменьшение количества пожаров зарегистрировано по следующим причинам: нарушение правил пожарной безопасности при использовании пиротехнических изделий (-100% к АППГ); нарушение правил устройства и эксплуатации теплогенерирующих агрегатов и установок (-42,85% к АППГ); неисправность производственного оборудования, нарушение технологического процесса производства (-28,57% к АППГ); неосторожное обращение с огнем детей (-27,27 % к АППГ);</w:t>
      </w:r>
      <w:proofErr w:type="gramEnd"/>
      <w:r w:rsidRPr="008C367C">
        <w:rPr>
          <w:sz w:val="28"/>
          <w:szCs w:val="28"/>
        </w:rPr>
        <w:t xml:space="preserve"> нарушение правил устройства и эксплуатации транспортных средств (-25,45% к АППГ); поджог (-17,61% к АППГ); нарушение правил устройства и эксплуатации печей (-15,09% к АППГ).</w:t>
      </w:r>
    </w:p>
    <w:p w:rsidR="008C367C" w:rsidRDefault="008C367C" w:rsidP="008C367C">
      <w:pPr>
        <w:ind w:firstLine="540"/>
        <w:jc w:val="both"/>
        <w:rPr>
          <w:sz w:val="28"/>
          <w:szCs w:val="28"/>
        </w:rPr>
      </w:pPr>
      <w:r w:rsidRPr="008C367C">
        <w:rPr>
          <w:sz w:val="28"/>
          <w:szCs w:val="28"/>
        </w:rPr>
        <w:t xml:space="preserve">Отмечается рост количества пожаров по следующим причинам их возникновения: неосторожность при сжигании мусора, травы и иных изделий (материалов) +84,21% к АППГ); неосторожность при курении (+48,33% </w:t>
      </w:r>
      <w:proofErr w:type="gramStart"/>
      <w:r w:rsidRPr="008C367C">
        <w:rPr>
          <w:sz w:val="28"/>
          <w:szCs w:val="28"/>
        </w:rPr>
        <w:t>к</w:t>
      </w:r>
      <w:proofErr w:type="gramEnd"/>
      <w:r w:rsidRPr="008C367C">
        <w:rPr>
          <w:sz w:val="28"/>
          <w:szCs w:val="28"/>
        </w:rPr>
        <w:t xml:space="preserve"> </w:t>
      </w:r>
      <w:proofErr w:type="gramStart"/>
      <w:r w:rsidRPr="008C367C">
        <w:rPr>
          <w:sz w:val="28"/>
          <w:szCs w:val="28"/>
        </w:rPr>
        <w:t>АППГ); нарушение правил устройства и эксплуатации газового оборудования +20%  к АППГ); неосторожное обращение с огнем всего (+4,4% к АППГ); нарушение правил устройства и эксплуатации электрооборудования (+1,09%  к АППГ).</w:t>
      </w:r>
      <w:proofErr w:type="gramEnd"/>
    </w:p>
    <w:p w:rsidR="000038CA" w:rsidRPr="008C367C" w:rsidRDefault="000038CA" w:rsidP="008C367C">
      <w:pPr>
        <w:ind w:firstLine="540"/>
        <w:jc w:val="both"/>
        <w:rPr>
          <w:sz w:val="28"/>
          <w:szCs w:val="28"/>
        </w:rPr>
      </w:pPr>
    </w:p>
    <w:p w:rsidR="000038CA" w:rsidRDefault="000038CA">
      <w:r>
        <w:br w:type="page"/>
      </w:r>
    </w:p>
    <w:p w:rsidR="000038CA" w:rsidRPr="00412FD3" w:rsidRDefault="000038CA" w:rsidP="000038CA">
      <w:pPr>
        <w:ind w:firstLine="540"/>
        <w:jc w:val="both"/>
      </w:pPr>
      <w:r w:rsidRPr="00412FD3">
        <w:lastRenderedPageBreak/>
        <w:t>В Ленском районе в течение 2022 года произошло 35 пожаров, при этом одной из основных причин стало нарушение правил устройства и эксплуатации печей (10 случаев).</w:t>
      </w:r>
    </w:p>
    <w:p w:rsidR="000038CA" w:rsidRPr="00412FD3" w:rsidRDefault="000038CA" w:rsidP="000038CA">
      <w:pPr>
        <w:ind w:firstLine="540"/>
        <w:jc w:val="both"/>
      </w:pPr>
      <w:r w:rsidRPr="00412FD3">
        <w:t>Поскольку в зимнее время печи эксплуатируются наиболее интенсивно, вероятность возникновения пожара, связанная с их эксплуатацией наиболее высока.</w:t>
      </w:r>
    </w:p>
    <w:p w:rsidR="000038CA" w:rsidRDefault="000038CA" w:rsidP="000038CA">
      <w:pPr>
        <w:ind w:firstLine="540"/>
        <w:jc w:val="both"/>
        <w:rPr>
          <w:sz w:val="22"/>
          <w:szCs w:val="22"/>
        </w:rPr>
      </w:pPr>
    </w:p>
    <w:p w:rsidR="000038CA" w:rsidRPr="000E526F" w:rsidRDefault="000038CA" w:rsidP="000038CA">
      <w:pPr>
        <w:rPr>
          <w:sz w:val="22"/>
          <w:szCs w:val="22"/>
        </w:rPr>
      </w:pPr>
      <w:r w:rsidRPr="000E526F">
        <w:rPr>
          <w:sz w:val="22"/>
          <w:szCs w:val="22"/>
        </w:rPr>
        <w:t xml:space="preserve">Несмотря на то, что в настоящее время самое широкое распространение получила система центрального отопления, </w:t>
      </w:r>
      <w:r>
        <w:rPr>
          <w:sz w:val="22"/>
          <w:szCs w:val="22"/>
        </w:rPr>
        <w:t xml:space="preserve">а </w:t>
      </w:r>
      <w:r w:rsidRPr="000E526F">
        <w:rPr>
          <w:sz w:val="22"/>
          <w:szCs w:val="22"/>
        </w:rPr>
        <w:t>частный жилой сектор</w:t>
      </w:r>
      <w:r>
        <w:rPr>
          <w:sz w:val="22"/>
          <w:szCs w:val="22"/>
        </w:rPr>
        <w:t xml:space="preserve"> постепенно переходит на газовое отопление,</w:t>
      </w:r>
      <w:r w:rsidRPr="000E526F">
        <w:rPr>
          <w:sz w:val="22"/>
          <w:szCs w:val="22"/>
        </w:rPr>
        <w:t xml:space="preserve"> </w:t>
      </w:r>
      <w:r>
        <w:rPr>
          <w:sz w:val="22"/>
          <w:szCs w:val="22"/>
        </w:rPr>
        <w:t>печи ещё долгое время будут оставаться «в строю»</w:t>
      </w:r>
      <w:r w:rsidRPr="000E526F">
        <w:rPr>
          <w:sz w:val="22"/>
          <w:szCs w:val="22"/>
        </w:rPr>
        <w:t xml:space="preserve">. Высокая пожарная опасность </w:t>
      </w:r>
      <w:r>
        <w:rPr>
          <w:sz w:val="22"/>
          <w:szCs w:val="22"/>
        </w:rPr>
        <w:t>печного отопления</w:t>
      </w:r>
      <w:r w:rsidRPr="000E526F">
        <w:rPr>
          <w:sz w:val="22"/>
          <w:szCs w:val="22"/>
        </w:rPr>
        <w:t xml:space="preserve"> объясняется тем, что каждая печь представляет собой очаг. Кроме того, печи и их дымоходы обычно связаны с конструкциями зданий, возле печей нередко хранятся сгораемые предметы, материалы. И не случайно среди различных причин пожаров одной из главных является нарушение правил пожарной безопасности при эксплуатации печей, неправильное их устройство. </w:t>
      </w:r>
    </w:p>
    <w:p w:rsidR="000038CA" w:rsidRPr="000E526F" w:rsidRDefault="000038CA" w:rsidP="000038CA">
      <w:pPr>
        <w:rPr>
          <w:sz w:val="22"/>
          <w:szCs w:val="22"/>
        </w:rPr>
      </w:pPr>
    </w:p>
    <w:p w:rsidR="000038CA" w:rsidRPr="000E526F" w:rsidRDefault="000038CA" w:rsidP="000038CA">
      <w:pPr>
        <w:rPr>
          <w:sz w:val="22"/>
          <w:szCs w:val="22"/>
        </w:rPr>
      </w:pPr>
      <w:r w:rsidRPr="000E526F">
        <w:rPr>
          <w:sz w:val="22"/>
          <w:szCs w:val="22"/>
        </w:rPr>
        <w:t>Пожары чаще всего происходят из-за перекала печей, образования в кирпичной   кладке трещин, при применении для их растопки горючих и легковоспламеняющихся жидкостей, выпадении из топки горящих углей. Причиной появления трещин и перекала  стенок дымовых труб может быть горение сажи, скапливающейся в дымоходах. При устройстве печи необходимо соблюдать определенные требования. Чтобы избежать осадки и появления трещин, печь надо устанавливать на самостоятельный фундамент.</w:t>
      </w:r>
    </w:p>
    <w:p w:rsidR="000038CA" w:rsidRPr="000E526F" w:rsidRDefault="000038CA" w:rsidP="000038CA">
      <w:pPr>
        <w:rPr>
          <w:sz w:val="22"/>
          <w:szCs w:val="22"/>
        </w:rPr>
      </w:pPr>
      <w:r w:rsidRPr="000E526F">
        <w:rPr>
          <w:sz w:val="22"/>
          <w:szCs w:val="22"/>
        </w:rPr>
        <w:t>Дымовая труба печи, которая проходит через деревянные чердачные или междуэтажные перекрытия, должна иметь утолщения кирпичной кладки (разделку). Утолщение в кирпичной кладке обязательно должно делаться и у стенок печи, если она примыкает или находится вблизи деревянных элементов здания (стен, перегородок). Вертикальные разделки в проемах деревянных стен и перегородок должны быть возведены на всю высоту печи или трубы. Печь не должна примыкать даже плоскостью одной из стенок к деревянным стенам или перегородкам. Между ними должен оставаться воздушный промежуток (</w:t>
      </w:r>
      <w:proofErr w:type="spellStart"/>
      <w:r w:rsidRPr="000E526F">
        <w:rPr>
          <w:sz w:val="22"/>
          <w:szCs w:val="22"/>
        </w:rPr>
        <w:t>отступка</w:t>
      </w:r>
      <w:proofErr w:type="spellEnd"/>
      <w:r w:rsidRPr="000E526F">
        <w:rPr>
          <w:sz w:val="22"/>
          <w:szCs w:val="22"/>
        </w:rPr>
        <w:t xml:space="preserve">) на всю высоту печи или дымовой трубы. Сгораемые стены и перегородки в </w:t>
      </w:r>
      <w:proofErr w:type="spellStart"/>
      <w:r w:rsidRPr="000E526F">
        <w:rPr>
          <w:sz w:val="22"/>
          <w:szCs w:val="22"/>
        </w:rPr>
        <w:t>отступках</w:t>
      </w:r>
      <w:proofErr w:type="spellEnd"/>
      <w:r w:rsidRPr="000E526F">
        <w:rPr>
          <w:sz w:val="22"/>
          <w:szCs w:val="22"/>
        </w:rPr>
        <w:t xml:space="preserve"> должны быть защищены кирпичной кладкой на глиняном растворе. В чердаке дома деревянная обрешетка вокруг дымовой трубы должна быть удалена на </w:t>
      </w:r>
      <w:smartTag w:uri="urn:schemas-microsoft-com:office:smarttags" w:element="metricconverter">
        <w:smartTagPr>
          <w:attr w:name="ProductID" w:val="13 см"/>
        </w:smartTagPr>
        <w:r w:rsidRPr="000E526F">
          <w:rPr>
            <w:sz w:val="22"/>
            <w:szCs w:val="22"/>
          </w:rPr>
          <w:t>13 см</w:t>
        </w:r>
      </w:smartTag>
      <w:r w:rsidRPr="000E526F">
        <w:rPr>
          <w:sz w:val="22"/>
          <w:szCs w:val="22"/>
        </w:rPr>
        <w:t>.</w:t>
      </w:r>
    </w:p>
    <w:p w:rsidR="000038CA" w:rsidRPr="000E526F" w:rsidRDefault="000038CA" w:rsidP="000038CA">
      <w:pPr>
        <w:rPr>
          <w:sz w:val="22"/>
          <w:szCs w:val="22"/>
        </w:rPr>
      </w:pPr>
    </w:p>
    <w:p w:rsidR="000038CA" w:rsidRPr="000E526F" w:rsidRDefault="000038CA" w:rsidP="000038CA">
      <w:pPr>
        <w:rPr>
          <w:sz w:val="22"/>
          <w:szCs w:val="22"/>
        </w:rPr>
      </w:pPr>
      <w:r>
        <w:rPr>
          <w:sz w:val="22"/>
          <w:szCs w:val="22"/>
        </w:rPr>
        <w:t>В</w:t>
      </w:r>
      <w:r w:rsidRPr="000E526F">
        <w:rPr>
          <w:sz w:val="22"/>
          <w:szCs w:val="22"/>
        </w:rPr>
        <w:t xml:space="preserve">се печи и другие приборы отопления должны быть тщательно проверены и отремонтированы. Если имеются трещины или зазоры в кладке, их нужно тщательно замазать глиной. Дымоходы в пределах чердака следует побелить, тогда при появлении черных полос легко обнаружить и ликвидировать трещины на них. </w:t>
      </w:r>
    </w:p>
    <w:p w:rsidR="000038CA" w:rsidRPr="000E526F" w:rsidRDefault="000038CA" w:rsidP="000038CA">
      <w:pPr>
        <w:rPr>
          <w:sz w:val="22"/>
          <w:szCs w:val="22"/>
        </w:rPr>
      </w:pPr>
      <w:r w:rsidRPr="000E526F">
        <w:rPr>
          <w:sz w:val="22"/>
          <w:szCs w:val="22"/>
        </w:rPr>
        <w:t>Пожар может произойти и от правильно устроенной и исправной печи, если нарушить правила ее эксплуатации. Возможны пожары от чрезмерно накаленных печей, воспламенения дров, сложенных возле отопительных приборов</w:t>
      </w:r>
      <w:r>
        <w:rPr>
          <w:sz w:val="22"/>
          <w:szCs w:val="22"/>
        </w:rPr>
        <w:t>, а также при сушке одежды возле печей</w:t>
      </w:r>
      <w:r w:rsidRPr="000E526F">
        <w:rPr>
          <w:sz w:val="22"/>
          <w:szCs w:val="22"/>
        </w:rPr>
        <w:t xml:space="preserve">. Топить печь нужно при закрытой топочной дверке. Дрова по длине не должны превышать глубину топливника печи, иначе горячие угли будут выпадать на пол. Чтобы деревянный пол не загорелся от выпавших углей, перед топочным отверстием необходимо прибить лист кровельного железа размером не менее 70x50 см. Ни в коем случае нельзя оставлять топящиеся печи без присмотра. </w:t>
      </w:r>
    </w:p>
    <w:p w:rsidR="000038CA" w:rsidRDefault="000038CA" w:rsidP="000038CA">
      <w:pPr>
        <w:rPr>
          <w:sz w:val="22"/>
          <w:szCs w:val="22"/>
        </w:rPr>
      </w:pPr>
      <w:r w:rsidRPr="000E526F">
        <w:rPr>
          <w:sz w:val="22"/>
          <w:szCs w:val="22"/>
        </w:rPr>
        <w:t xml:space="preserve">При сильных морозах, чтобы избежать перекала печей, топить их рекомендуется два раза в сутки с некоторым интервалом. </w:t>
      </w:r>
    </w:p>
    <w:p w:rsidR="000038CA" w:rsidRPr="000E526F" w:rsidRDefault="000038CA" w:rsidP="000038CA">
      <w:pPr>
        <w:rPr>
          <w:sz w:val="22"/>
          <w:szCs w:val="22"/>
        </w:rPr>
      </w:pPr>
    </w:p>
    <w:p w:rsidR="000038CA" w:rsidRPr="000E526F" w:rsidRDefault="000038CA" w:rsidP="000038CA">
      <w:pPr>
        <w:rPr>
          <w:sz w:val="22"/>
          <w:szCs w:val="22"/>
        </w:rPr>
      </w:pPr>
      <w:r w:rsidRPr="000E526F">
        <w:rPr>
          <w:sz w:val="22"/>
          <w:szCs w:val="22"/>
        </w:rPr>
        <w:t xml:space="preserve">При растопке печи нельзя применять легковоспламеняющиеся и горючие жидкости.  Следует регулярно, раз в </w:t>
      </w:r>
      <w:r>
        <w:rPr>
          <w:sz w:val="22"/>
          <w:szCs w:val="22"/>
        </w:rPr>
        <w:t>три</w:t>
      </w:r>
      <w:r w:rsidRPr="000E526F">
        <w:rPr>
          <w:sz w:val="22"/>
          <w:szCs w:val="22"/>
        </w:rPr>
        <w:t xml:space="preserve"> месяца, производить чистку дымоходов, так как на стенках их накапливается большое количество сажи. Процесс ее горения сопровождается высокой температурой и образованием искр, вылетающих из дымохода, что нередко приводит к пожару. При уборке горячей золы из печей ее надо высыпать в яму, расположенную вдали от строений, предварительно затушив водой, песком или снегом. Запрещается использовать для дымовых труб керамические, асбоцементные и металлические трубы. </w:t>
      </w:r>
    </w:p>
    <w:p w:rsidR="008C367C" w:rsidRDefault="000038CA" w:rsidP="000038CA">
      <w:pPr>
        <w:rPr>
          <w:sz w:val="22"/>
          <w:szCs w:val="22"/>
        </w:rPr>
      </w:pPr>
      <w:r w:rsidRPr="000E526F">
        <w:rPr>
          <w:sz w:val="22"/>
          <w:szCs w:val="22"/>
        </w:rPr>
        <w:t>Статистика показывает, что большинство возникающих пожаров происходит в частном секторе и квартирах граждан. Причинами таких пожаров чаще всего становится невнимательность самих жильцов.</w:t>
      </w:r>
    </w:p>
    <w:sectPr w:rsidR="008C367C" w:rsidSect="00473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Sans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D6C0C"/>
    <w:multiLevelType w:val="hybridMultilevel"/>
    <w:tmpl w:val="A13AA440"/>
    <w:lvl w:ilvl="0" w:tplc="D3CCD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C672653"/>
    <w:multiLevelType w:val="hybridMultilevel"/>
    <w:tmpl w:val="D5DAAAC2"/>
    <w:lvl w:ilvl="0" w:tplc="8134224C">
      <w:start w:val="1"/>
      <w:numFmt w:val="bullet"/>
      <w:lvlText w:val="­"/>
      <w:lvlJc w:val="left"/>
      <w:pPr>
        <w:tabs>
          <w:tab w:val="num" w:pos="2149"/>
        </w:tabs>
        <w:ind w:left="2149" w:hanging="360"/>
      </w:pPr>
      <w:rPr>
        <w:rFonts w:ascii="Times New Roman" w:hAnsi="Times New Roman" w:cs="Times New Roman" w:hint="default"/>
        <w:color w:val="auto"/>
      </w:rPr>
    </w:lvl>
    <w:lvl w:ilvl="1" w:tplc="8134224C">
      <w:start w:val="1"/>
      <w:numFmt w:val="bullet"/>
      <w:lvlText w:val="­"/>
      <w:lvlJc w:val="left"/>
      <w:pPr>
        <w:tabs>
          <w:tab w:val="num" w:pos="2149"/>
        </w:tabs>
        <w:ind w:left="2149" w:hanging="360"/>
      </w:pPr>
      <w:rPr>
        <w:rFonts w:ascii="Times New Roman" w:hAnsi="Times New Roman"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B13A9D"/>
    <w:rsid w:val="000038CA"/>
    <w:rsid w:val="000136CA"/>
    <w:rsid w:val="000A4897"/>
    <w:rsid w:val="000E06E2"/>
    <w:rsid w:val="002425A5"/>
    <w:rsid w:val="003E0CA8"/>
    <w:rsid w:val="00412FD3"/>
    <w:rsid w:val="004631DE"/>
    <w:rsid w:val="004733FE"/>
    <w:rsid w:val="00543BD3"/>
    <w:rsid w:val="00643791"/>
    <w:rsid w:val="006C5E34"/>
    <w:rsid w:val="007668E9"/>
    <w:rsid w:val="008C367C"/>
    <w:rsid w:val="009A619D"/>
    <w:rsid w:val="00A62E98"/>
    <w:rsid w:val="00B022D5"/>
    <w:rsid w:val="00B13A9D"/>
    <w:rsid w:val="00B5255A"/>
    <w:rsid w:val="00C90035"/>
    <w:rsid w:val="00D840D4"/>
    <w:rsid w:val="00F64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9D"/>
    <w:rPr>
      <w:sz w:val="24"/>
      <w:szCs w:val="24"/>
    </w:rPr>
  </w:style>
  <w:style w:type="paragraph" w:styleId="1">
    <w:name w:val="heading 1"/>
    <w:basedOn w:val="a"/>
    <w:next w:val="a"/>
    <w:link w:val="10"/>
    <w:qFormat/>
    <w:rsid w:val="004631DE"/>
    <w:pPr>
      <w:keepNext/>
      <w:spacing w:before="240" w:after="60"/>
      <w:jc w:val="both"/>
      <w:outlineLvl w:val="0"/>
    </w:pPr>
    <w:rPr>
      <w:rFonts w:ascii="Cambria" w:hAnsi="Cambria"/>
      <w:b/>
      <w:bCs/>
      <w:kern w:val="32"/>
      <w:sz w:val="32"/>
      <w:szCs w:val="32"/>
      <w:shd w:val="clear" w:color="auto" w:fill="F4F4F4"/>
    </w:rPr>
  </w:style>
  <w:style w:type="paragraph" w:styleId="3">
    <w:name w:val="heading 3"/>
    <w:basedOn w:val="a"/>
    <w:next w:val="a"/>
    <w:link w:val="30"/>
    <w:qFormat/>
    <w:rsid w:val="004631DE"/>
    <w:pPr>
      <w:keepNext/>
      <w:jc w:val="both"/>
      <w:outlineLvl w:val="2"/>
    </w:pPr>
    <w:rPr>
      <w:rFonts w:ascii="PTSansBold" w:hAnsi="PTSansBold"/>
      <w:b/>
      <w:sz w:val="22"/>
      <w:szCs w:val="20"/>
      <w:shd w:val="clear" w:color="auto" w:fill="F4F4F4"/>
    </w:rPr>
  </w:style>
  <w:style w:type="paragraph" w:styleId="4">
    <w:name w:val="heading 4"/>
    <w:basedOn w:val="a"/>
    <w:next w:val="a"/>
    <w:link w:val="40"/>
    <w:qFormat/>
    <w:rsid w:val="004631DE"/>
    <w:pPr>
      <w:keepNext/>
      <w:jc w:val="both"/>
      <w:outlineLvl w:val="3"/>
    </w:pPr>
    <w:rPr>
      <w:rFonts w:ascii="PTSansBold" w:hAnsi="PTSansBold"/>
      <w:b/>
      <w:sz w:val="28"/>
      <w:szCs w:val="20"/>
      <w:shd w:val="clear" w:color="auto" w:fill="F4F4F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1DE"/>
    <w:rPr>
      <w:rFonts w:ascii="Cambria" w:eastAsia="Times New Roman" w:hAnsi="Cambria" w:cs="Times New Roman"/>
      <w:b/>
      <w:bCs/>
      <w:kern w:val="32"/>
      <w:sz w:val="32"/>
      <w:szCs w:val="32"/>
    </w:rPr>
  </w:style>
  <w:style w:type="character" w:customStyle="1" w:styleId="30">
    <w:name w:val="Заголовок 3 Знак"/>
    <w:basedOn w:val="a0"/>
    <w:link w:val="3"/>
    <w:rsid w:val="004631DE"/>
    <w:rPr>
      <w:rFonts w:ascii="PTSansBold" w:hAnsi="PTSansBold"/>
      <w:b/>
      <w:sz w:val="22"/>
    </w:rPr>
  </w:style>
  <w:style w:type="character" w:customStyle="1" w:styleId="40">
    <w:name w:val="Заголовок 4 Знак"/>
    <w:basedOn w:val="a0"/>
    <w:link w:val="4"/>
    <w:rsid w:val="004631DE"/>
    <w:rPr>
      <w:rFonts w:ascii="PTSansBold" w:hAnsi="PTSansBold"/>
      <w:b/>
      <w:sz w:val="28"/>
    </w:rPr>
  </w:style>
  <w:style w:type="paragraph" w:styleId="a3">
    <w:name w:val="List Paragraph"/>
    <w:basedOn w:val="a"/>
    <w:uiPriority w:val="34"/>
    <w:qFormat/>
    <w:rsid w:val="00A62E98"/>
    <w:pPr>
      <w:ind w:left="720"/>
      <w:contextualSpacing/>
    </w:pPr>
  </w:style>
  <w:style w:type="character" w:customStyle="1" w:styleId="2">
    <w:name w:val="Основной текст (2)_"/>
    <w:basedOn w:val="a0"/>
    <w:link w:val="20"/>
    <w:rsid w:val="003E0CA8"/>
    <w:rPr>
      <w:sz w:val="28"/>
      <w:szCs w:val="28"/>
      <w:shd w:val="clear" w:color="auto" w:fill="FFFFFF"/>
    </w:rPr>
  </w:style>
  <w:style w:type="paragraph" w:customStyle="1" w:styleId="20">
    <w:name w:val="Основной текст (2)"/>
    <w:basedOn w:val="a"/>
    <w:link w:val="2"/>
    <w:rsid w:val="003E0CA8"/>
    <w:pPr>
      <w:widowControl w:val="0"/>
      <w:shd w:val="clear" w:color="auto" w:fill="FFFFFF"/>
      <w:spacing w:after="300" w:line="322" w:lineRule="exact"/>
      <w:jc w:val="center"/>
    </w:pPr>
    <w:rPr>
      <w:sz w:val="28"/>
      <w:szCs w:val="28"/>
    </w:rPr>
  </w:style>
  <w:style w:type="paragraph" w:styleId="a4">
    <w:name w:val="Balloon Text"/>
    <w:basedOn w:val="a"/>
    <w:link w:val="a5"/>
    <w:uiPriority w:val="99"/>
    <w:semiHidden/>
    <w:unhideWhenUsed/>
    <w:rsid w:val="008C367C"/>
    <w:rPr>
      <w:rFonts w:ascii="Tahoma" w:hAnsi="Tahoma" w:cs="Tahoma"/>
      <w:sz w:val="16"/>
      <w:szCs w:val="16"/>
    </w:rPr>
  </w:style>
  <w:style w:type="character" w:customStyle="1" w:styleId="a5">
    <w:name w:val="Текст выноски Знак"/>
    <w:basedOn w:val="a0"/>
    <w:link w:val="a4"/>
    <w:uiPriority w:val="99"/>
    <w:semiHidden/>
    <w:rsid w:val="008C3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2749615975422449"/>
          <c:y val="3.3248081841432187E-2"/>
          <c:w val="0.72964669738863408"/>
          <c:h val="0.48337595907928443"/>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00FF00"/>
              </a:solidFill>
              <a:ln w="12700">
                <a:solidFill>
                  <a:srgbClr val="000000"/>
                </a:solidFill>
                <a:prstDash val="solid"/>
              </a:ln>
            </c:spPr>
          </c:dPt>
          <c:dPt>
            <c:idx val="4"/>
            <c:spPr>
              <a:solidFill>
                <a:srgbClr val="FF6600"/>
              </a:solidFill>
              <a:ln w="12700">
                <a:solidFill>
                  <a:srgbClr val="000000"/>
                </a:solidFill>
                <a:prstDash val="solid"/>
              </a:ln>
            </c:spPr>
          </c:dPt>
          <c:dPt>
            <c:idx val="5"/>
            <c:spPr>
              <a:solidFill>
                <a:srgbClr val="CCFFFF"/>
              </a:solidFill>
              <a:ln w="12700">
                <a:solidFill>
                  <a:srgbClr val="000000"/>
                </a:solidFill>
                <a:prstDash val="solid"/>
              </a:ln>
            </c:spPr>
          </c:dPt>
          <c:dLbls>
            <c:dLbl>
              <c:idx val="0"/>
              <c:layout>
                <c:manualLayout>
                  <c:x val="-0.15253134571394153"/>
                  <c:y val="-4.1408367301600787E-2"/>
                </c:manualLayout>
              </c:layout>
              <c:dLblPos val="bestFit"/>
              <c:showVal val="1"/>
            </c:dLbl>
            <c:dLbl>
              <c:idx val="1"/>
              <c:layout>
                <c:manualLayout>
                  <c:x val="3.6183194879177011E-2"/>
                  <c:y val="8.7934897570234767E-3"/>
                </c:manualLayout>
              </c:layout>
              <c:dLblPos val="bestFit"/>
              <c:showVal val="1"/>
            </c:dLbl>
            <c:dLbl>
              <c:idx val="2"/>
              <c:layout>
                <c:manualLayout>
                  <c:x val="3.0935272469205053E-2"/>
                  <c:y val="4.072213824073391E-2"/>
                </c:manualLayout>
              </c:layout>
              <c:dLblPos val="bestFit"/>
              <c:showVal val="1"/>
            </c:dLbl>
            <c:dLbl>
              <c:idx val="3"/>
              <c:layout>
                <c:manualLayout>
                  <c:x val="2.2489408090983935E-2"/>
                  <c:y val="-3.2409066679549771E-2"/>
                </c:manualLayout>
              </c:layout>
              <c:dLblPos val="bestFit"/>
              <c:showVal val="1"/>
            </c:dLbl>
            <c:dLbl>
              <c:idx val="4"/>
              <c:dLblPos val="bestFit"/>
              <c:showVal val="1"/>
            </c:dLbl>
            <c:dLbl>
              <c:idx val="5"/>
              <c:dLblPos val="bestFit"/>
              <c:showVal val="1"/>
            </c:dLbl>
            <c:dLbl>
              <c:idx val="6"/>
              <c:layout>
                <c:manualLayout>
                  <c:xMode val="edge"/>
                  <c:yMode val="edge"/>
                  <c:x val="0.38248847926267404"/>
                  <c:y val="1.2787723785166252E-2"/>
                </c:manualLayout>
              </c:layout>
              <c:dLblPos val="bestFit"/>
              <c:showVal val="1"/>
            </c:dLbl>
            <c:numFmt formatCode="0.0%" sourceLinked="0"/>
            <c:spPr>
              <a:solidFill>
                <a:srgbClr val="FFFF00"/>
              </a:solidFill>
              <a:ln w="25400">
                <a:noFill/>
              </a:ln>
            </c:spPr>
            <c:txPr>
              <a:bodyPr/>
              <a:lstStyle/>
              <a:p>
                <a:pPr>
                  <a:defRPr sz="1200" b="1" i="0" u="none" strike="noStrike" baseline="0">
                    <a:solidFill>
                      <a:srgbClr val="000000"/>
                    </a:solidFill>
                    <a:latin typeface="Arial CYR"/>
                    <a:ea typeface="Arial CYR"/>
                    <a:cs typeface="Arial CYR"/>
                  </a:defRPr>
                </a:pPr>
                <a:endParaRPr lang="ru-RU"/>
              </a:p>
            </c:txPr>
            <c:showVal val="1"/>
            <c:showLeaderLines val="1"/>
          </c:dLbls>
          <c:cat>
            <c:strRef>
              <c:f>Sheet1!$B$1:$G$1</c:f>
              <c:strCache>
                <c:ptCount val="6"/>
                <c:pt idx="0">
                  <c:v>Неосторожное обращение с огнем</c:v>
                </c:pt>
                <c:pt idx="1">
                  <c:v>НПУиЭ транспортных средств</c:v>
                </c:pt>
                <c:pt idx="2">
                  <c:v>НПУиЭ электрооборудования</c:v>
                </c:pt>
                <c:pt idx="3">
                  <c:v>НПУиЭ печей</c:v>
                </c:pt>
                <c:pt idx="4">
                  <c:v>Поджоги</c:v>
                </c:pt>
                <c:pt idx="5">
                  <c:v>Другие причины</c:v>
                </c:pt>
              </c:strCache>
            </c:strRef>
          </c:cat>
          <c:val>
            <c:numRef>
              <c:f>Sheet1!$B$2:$G$2</c:f>
              <c:numCache>
                <c:formatCode>0.00%</c:formatCode>
                <c:ptCount val="6"/>
                <c:pt idx="0">
                  <c:v>0.54959999999999998</c:v>
                </c:pt>
                <c:pt idx="1">
                  <c:v>3.2800000000000044E-2</c:v>
                </c:pt>
                <c:pt idx="2">
                  <c:v>0.18450000000000016</c:v>
                </c:pt>
                <c:pt idx="3">
                  <c:v>0.13289999999999999</c:v>
                </c:pt>
                <c:pt idx="4">
                  <c:v>5.8000000000000003E-2</c:v>
                </c:pt>
                <c:pt idx="5">
                  <c:v>4.2200000000000001E-2</c:v>
                </c:pt>
              </c:numCache>
            </c:numRef>
          </c:val>
        </c:ser>
        <c:ser>
          <c:idx val="1"/>
          <c:order val="1"/>
          <c:tx>
            <c:strRef>
              <c:f>Sheet1!$A$3</c:f>
              <c:strCache>
                <c:ptCount val="1"/>
              </c:strCache>
            </c:strRef>
          </c:tx>
          <c:spPr>
            <a:solidFill>
              <a:srgbClr val="993366"/>
            </a:solidFill>
            <a:ln w="12700">
              <a:solidFill>
                <a:srgbClr val="000000"/>
              </a:solidFill>
              <a:prstDash val="solid"/>
            </a:ln>
          </c:spPr>
          <c:explosion val="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6"/>
                <c:pt idx="0">
                  <c:v>Неосторожное обращение с огнем</c:v>
                </c:pt>
                <c:pt idx="1">
                  <c:v>НПУиЭ транспортных средств</c:v>
                </c:pt>
                <c:pt idx="2">
                  <c:v>НПУиЭ электрооборудования</c:v>
                </c:pt>
                <c:pt idx="3">
                  <c:v>НПУиЭ печей</c:v>
                </c:pt>
                <c:pt idx="4">
                  <c:v>Поджоги</c:v>
                </c:pt>
                <c:pt idx="5">
                  <c:v>Другие причины</c:v>
                </c:pt>
              </c:strCache>
            </c:strRef>
          </c:cat>
          <c:val>
            <c:numRef>
              <c:f>Sheet1!$B$3:$G$3</c:f>
              <c:numCache>
                <c:formatCode>General</c:formatCode>
                <c:ptCount val="6"/>
              </c:numCache>
            </c:numRef>
          </c:val>
        </c:ser>
      </c:pie3DChart>
      <c:spPr>
        <a:noFill/>
        <a:ln w="25400">
          <a:noFill/>
        </a:ln>
      </c:spPr>
    </c:plotArea>
    <c:legend>
      <c:legendPos val="b"/>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72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7CDB-9F7D-4292-8B6B-56522D55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2023-02-14T06:13:00Z</dcterms:created>
  <dcterms:modified xsi:type="dcterms:W3CDTF">2023-02-14T06:27:00Z</dcterms:modified>
</cp:coreProperties>
</file>